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ED" w:rsidRPr="008C3F05" w:rsidRDefault="00C37EED" w:rsidP="008C3F05">
      <w:pPr>
        <w:spacing w:before="359" w:after="179" w:line="413" w:lineRule="atLeast"/>
        <w:textAlignment w:val="baseline"/>
        <w:outlineLvl w:val="1"/>
        <w:rPr>
          <w:rFonts w:ascii="&amp;quot" w:hAnsi="&amp;quot"/>
          <w:color w:val="000000"/>
          <w:sz w:val="36"/>
          <w:szCs w:val="36"/>
          <w:lang w:eastAsia="cs-CZ"/>
        </w:rPr>
      </w:pPr>
      <w:r>
        <w:rPr>
          <w:rFonts w:ascii="&amp;quot" w:hAnsi="&amp;quot"/>
          <w:color w:val="000000"/>
          <w:sz w:val="36"/>
          <w:szCs w:val="36"/>
          <w:lang w:eastAsia="cs-CZ"/>
        </w:rPr>
        <w:t>Všeobecný p</w:t>
      </w:r>
      <w:r w:rsidRPr="008C3F05">
        <w:rPr>
          <w:rFonts w:ascii="&amp;quot" w:hAnsi="&amp;quot"/>
          <w:color w:val="000000"/>
          <w:sz w:val="36"/>
          <w:szCs w:val="36"/>
          <w:lang w:eastAsia="cs-CZ"/>
        </w:rPr>
        <w:t>raktický lékař</w:t>
      </w:r>
    </w:p>
    <w:p w:rsidR="00C37EED" w:rsidRPr="008C3F05" w:rsidRDefault="00C37EED" w:rsidP="008C3F05">
      <w:pPr>
        <w:spacing w:after="158" w:line="375" w:lineRule="atLeast"/>
        <w:textAlignment w:val="baseline"/>
        <w:outlineLvl w:val="2"/>
        <w:rPr>
          <w:rFonts w:ascii="&amp;quot" w:hAnsi="&amp;quot" w:cs="Arial"/>
          <w:color w:val="000000"/>
          <w:sz w:val="32"/>
          <w:szCs w:val="32"/>
          <w:lang w:eastAsia="cs-CZ"/>
        </w:rPr>
      </w:pPr>
      <w:r w:rsidRPr="008C3F05">
        <w:rPr>
          <w:rFonts w:ascii="&amp;quot" w:hAnsi="&amp;quot" w:cs="Arial"/>
          <w:color w:val="000000"/>
          <w:sz w:val="32"/>
          <w:szCs w:val="32"/>
          <w:lang w:eastAsia="cs-CZ"/>
        </w:rPr>
        <w:t>Ordinační hodiny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7025"/>
      </w:tblGrid>
      <w:tr w:rsidR="00C37EED" w:rsidRPr="00CB5162" w:rsidTr="008C3F05"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shd w:val="clear" w:color="auto" w:fill="C0C5C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8C3F05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sz w:val="21"/>
                <w:szCs w:val="21"/>
                <w:lang w:eastAsia="cs-CZ"/>
              </w:rPr>
              <w:t>7.3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0-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>12.0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 xml:space="preserve"> pro nemocné</w:t>
            </w:r>
            <w:r w:rsidR="00D605B7">
              <w:rPr>
                <w:rFonts w:ascii="Arial" w:hAnsi="Arial" w:cs="Arial"/>
                <w:sz w:val="21"/>
                <w:szCs w:val="21"/>
                <w:lang w:eastAsia="cs-CZ"/>
              </w:rPr>
              <w:t>, 12.30-15.00 návštěv</w:t>
            </w:r>
            <w:r w:rsidR="00695ED9">
              <w:rPr>
                <w:rFonts w:ascii="Arial" w:hAnsi="Arial" w:cs="Arial"/>
                <w:sz w:val="21"/>
                <w:szCs w:val="21"/>
                <w:lang w:eastAsia="cs-CZ"/>
              </w:rPr>
              <w:t>ní služba</w:t>
            </w:r>
            <w:r w:rsidR="00D605B7">
              <w:rPr>
                <w:rFonts w:ascii="Arial" w:hAnsi="Arial" w:cs="Arial"/>
                <w:sz w:val="21"/>
                <w:szCs w:val="21"/>
                <w:lang w:eastAsia="cs-CZ"/>
              </w:rPr>
              <w:t xml:space="preserve"> a administr</w:t>
            </w:r>
            <w:r w:rsidR="00695ED9">
              <w:rPr>
                <w:rFonts w:ascii="Arial" w:hAnsi="Arial" w:cs="Arial"/>
                <w:sz w:val="21"/>
                <w:szCs w:val="21"/>
                <w:lang w:eastAsia="cs-CZ"/>
              </w:rPr>
              <w:t>ativa</w:t>
            </w:r>
          </w:p>
        </w:tc>
      </w:tr>
      <w:tr w:rsidR="00C37EED" w:rsidRPr="00CB5162" w:rsidTr="008C3F05"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shd w:val="clear" w:color="auto" w:fill="C0C5C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8C3F05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sz w:val="21"/>
                <w:szCs w:val="21"/>
                <w:lang w:eastAsia="cs-CZ"/>
              </w:rPr>
              <w:t xml:space="preserve">7.30–12.00 pro objednané, 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13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>.00–18.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00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 xml:space="preserve"> pro nemocné</w:t>
            </w:r>
          </w:p>
        </w:tc>
      </w:tr>
      <w:tr w:rsidR="00C37EED" w:rsidRPr="00CB5162" w:rsidTr="008C3F05"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shd w:val="clear" w:color="auto" w:fill="C0C5C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8C3F05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sz w:val="21"/>
                <w:szCs w:val="21"/>
                <w:lang w:eastAsia="cs-CZ"/>
              </w:rPr>
              <w:t>7.30–12.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00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 xml:space="preserve"> pro nemocné</w:t>
            </w:r>
            <w:r w:rsidR="00D605B7">
              <w:rPr>
                <w:rFonts w:ascii="Arial" w:hAnsi="Arial" w:cs="Arial"/>
                <w:sz w:val="21"/>
                <w:szCs w:val="21"/>
                <w:lang w:eastAsia="cs-CZ"/>
              </w:rPr>
              <w:t>, 12.30-15.00 návštěv</w:t>
            </w:r>
            <w:r w:rsidR="00695ED9">
              <w:rPr>
                <w:rFonts w:ascii="Arial" w:hAnsi="Arial" w:cs="Arial"/>
                <w:sz w:val="21"/>
                <w:szCs w:val="21"/>
                <w:lang w:eastAsia="cs-CZ"/>
              </w:rPr>
              <w:t>ní služba</w:t>
            </w:r>
            <w:r w:rsidR="00D605B7">
              <w:rPr>
                <w:rFonts w:ascii="Arial" w:hAnsi="Arial" w:cs="Arial"/>
                <w:sz w:val="21"/>
                <w:szCs w:val="21"/>
                <w:lang w:eastAsia="cs-CZ"/>
              </w:rPr>
              <w:t xml:space="preserve"> a administrativa </w:t>
            </w:r>
          </w:p>
        </w:tc>
      </w:tr>
      <w:tr w:rsidR="00C37EED" w:rsidRPr="00CB5162" w:rsidTr="008C3F05"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shd w:val="clear" w:color="auto" w:fill="C0C5C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8C3F05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A1220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sz w:val="21"/>
                <w:szCs w:val="21"/>
                <w:lang w:eastAsia="cs-CZ"/>
              </w:rPr>
              <w:t>7.30-12.00 pro nemocné, 13.00-15.00 pro objednané</w:t>
            </w:r>
          </w:p>
        </w:tc>
      </w:tr>
      <w:tr w:rsidR="00C37EED" w:rsidRPr="00CB5162" w:rsidTr="008C3F05"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shd w:val="clear" w:color="auto" w:fill="C0C5CC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8C3F05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5ABB3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37EED" w:rsidRPr="008C3F05" w:rsidRDefault="00C37EED" w:rsidP="008C3F0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sz w:val="21"/>
                <w:szCs w:val="21"/>
                <w:lang w:eastAsia="cs-CZ"/>
              </w:rPr>
              <w:t>7.00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-12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>.</w:t>
            </w:r>
            <w:r w:rsidRPr="008C3F05">
              <w:rPr>
                <w:rFonts w:ascii="Arial" w:hAnsi="Arial" w:cs="Arial"/>
                <w:sz w:val="21"/>
                <w:szCs w:val="21"/>
                <w:lang w:eastAsia="cs-CZ"/>
              </w:rPr>
              <w:t>00</w:t>
            </w:r>
            <w:r>
              <w:rPr>
                <w:rFonts w:ascii="Arial" w:hAnsi="Arial" w:cs="Arial"/>
                <w:sz w:val="21"/>
                <w:szCs w:val="21"/>
                <w:lang w:eastAsia="cs-CZ"/>
              </w:rPr>
              <w:t xml:space="preserve"> pro nemocné</w:t>
            </w:r>
          </w:p>
        </w:tc>
      </w:tr>
    </w:tbl>
    <w:p w:rsidR="00C37EED" w:rsidRDefault="00C37EED" w:rsidP="008C3F05">
      <w:pPr>
        <w:spacing w:after="0" w:line="330" w:lineRule="atLeast"/>
        <w:textAlignment w:val="baseline"/>
        <w:rPr>
          <w:rFonts w:ascii="Arial" w:hAnsi="Arial" w:cs="Arial"/>
          <w:iCs/>
          <w:color w:val="333333"/>
          <w:sz w:val="21"/>
          <w:lang w:eastAsia="cs-CZ"/>
        </w:rPr>
      </w:pPr>
    </w:p>
    <w:p w:rsidR="00C37EED" w:rsidRPr="008C3F05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 w:rsidRPr="00025C94">
        <w:rPr>
          <w:rFonts w:ascii="Arial" w:hAnsi="Arial" w:cs="Arial"/>
          <w:iCs/>
          <w:color w:val="333333"/>
          <w:sz w:val="21"/>
          <w:lang w:eastAsia="cs-CZ"/>
        </w:rPr>
        <w:t>MUDr. Pavel Jílek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br/>
        <w:t xml:space="preserve">Zdravotní sestra: </w:t>
      </w:r>
      <w:r w:rsidRPr="008C3F05">
        <w:rPr>
          <w:rFonts w:ascii="Arial" w:hAnsi="Arial" w:cs="Arial"/>
          <w:i/>
          <w:iCs/>
          <w:color w:val="333333"/>
          <w:sz w:val="21"/>
          <w:lang w:eastAsia="cs-CZ"/>
        </w:rPr>
        <w:t xml:space="preserve">Monika </w:t>
      </w:r>
      <w:proofErr w:type="spellStart"/>
      <w:r w:rsidRPr="008C3F05">
        <w:rPr>
          <w:rFonts w:ascii="Arial" w:hAnsi="Arial" w:cs="Arial"/>
          <w:i/>
          <w:iCs/>
          <w:color w:val="333333"/>
          <w:sz w:val="21"/>
          <w:lang w:eastAsia="cs-CZ"/>
        </w:rPr>
        <w:t>Tašnerová</w:t>
      </w:r>
      <w:proofErr w:type="spellEnd"/>
    </w:p>
    <w:p w:rsidR="00C37EED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 w:rsidRPr="008C3F05">
        <w:rPr>
          <w:rFonts w:ascii="Arial" w:hAnsi="Arial" w:cs="Arial"/>
          <w:b/>
          <w:bCs/>
          <w:color w:val="333333"/>
          <w:sz w:val="21"/>
          <w:lang w:eastAsia="cs-CZ"/>
        </w:rPr>
        <w:t>Tel.: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 +420 461 631</w:t>
      </w:r>
      <w:r>
        <w:rPr>
          <w:rFonts w:ascii="Arial" w:hAnsi="Arial" w:cs="Arial"/>
          <w:color w:val="333333"/>
          <w:sz w:val="21"/>
          <w:szCs w:val="21"/>
          <w:lang w:eastAsia="cs-CZ"/>
        </w:rPr>
        <w:t> 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>114</w:t>
      </w:r>
    </w:p>
    <w:p w:rsidR="00C37EED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>
        <w:rPr>
          <w:rFonts w:ascii="Arial" w:hAnsi="Arial" w:cs="Arial"/>
          <w:color w:val="333333"/>
          <w:sz w:val="21"/>
          <w:szCs w:val="21"/>
          <w:lang w:eastAsia="cs-CZ"/>
        </w:rPr>
        <w:t>Odběry krve jsou prováděny v pondělí, ve středu a v pátek v době 7.00-7.30 hod.</w:t>
      </w:r>
    </w:p>
    <w:p w:rsidR="00C37EED" w:rsidRPr="008C3F05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Výše uvedená </w:t>
      </w:r>
      <w:r w:rsidRPr="008C3F05">
        <w:rPr>
          <w:rFonts w:ascii="Arial" w:hAnsi="Arial" w:cs="Arial"/>
          <w:b/>
          <w:bCs/>
          <w:color w:val="333333"/>
          <w:sz w:val="21"/>
          <w:lang w:eastAsia="cs-CZ"/>
        </w:rPr>
        <w:t>pravidelná ordinační doba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 je určena pro běžná ošetř</w:t>
      </w:r>
      <w:r>
        <w:rPr>
          <w:rFonts w:ascii="Arial" w:hAnsi="Arial" w:cs="Arial"/>
          <w:color w:val="333333"/>
          <w:sz w:val="21"/>
          <w:szCs w:val="21"/>
          <w:lang w:eastAsia="cs-CZ"/>
        </w:rPr>
        <w:t>ení nemocných. Na časově náročnější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 vyšetření (preventivní prohlídky, </w:t>
      </w:r>
      <w:r>
        <w:rPr>
          <w:rFonts w:ascii="Arial" w:hAnsi="Arial" w:cs="Arial"/>
          <w:color w:val="333333"/>
          <w:sz w:val="21"/>
          <w:szCs w:val="21"/>
          <w:lang w:eastAsia="cs-CZ"/>
        </w:rPr>
        <w:t xml:space="preserve">prohlídky do zaměstnání, 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předoperační vyšetření, </w:t>
      </w:r>
      <w:r>
        <w:rPr>
          <w:rFonts w:ascii="Arial" w:hAnsi="Arial" w:cs="Arial"/>
          <w:color w:val="333333"/>
          <w:sz w:val="21"/>
          <w:szCs w:val="21"/>
          <w:lang w:eastAsia="cs-CZ"/>
        </w:rPr>
        <w:t>návrhy na lázeňskou péči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>,</w:t>
      </w:r>
      <w:r>
        <w:rPr>
          <w:rFonts w:ascii="Arial" w:hAnsi="Arial" w:cs="Arial"/>
          <w:color w:val="333333"/>
          <w:sz w:val="21"/>
          <w:szCs w:val="21"/>
          <w:lang w:eastAsia="cs-CZ"/>
        </w:rPr>
        <w:t xml:space="preserve"> vypsání formulářů pro účely OSSZ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 atd.) je nutné se předem objednat na </w:t>
      </w:r>
      <w:r w:rsidRPr="008C3F05">
        <w:rPr>
          <w:rFonts w:ascii="Arial" w:hAnsi="Arial" w:cs="Arial"/>
          <w:b/>
          <w:bCs/>
          <w:color w:val="333333"/>
          <w:sz w:val="21"/>
          <w:lang w:eastAsia="cs-CZ"/>
        </w:rPr>
        <w:t>telefonním čísle +420 461 631 114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. Pro tuto činnost je vyhrazena ordinace v úterý </w:t>
      </w:r>
      <w:r>
        <w:rPr>
          <w:rFonts w:ascii="Arial" w:hAnsi="Arial" w:cs="Arial"/>
          <w:color w:val="333333"/>
          <w:sz w:val="21"/>
          <w:szCs w:val="21"/>
          <w:lang w:eastAsia="cs-CZ"/>
        </w:rPr>
        <w:t xml:space="preserve">dopoledne 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>a čtvrtek o</w:t>
      </w:r>
      <w:r>
        <w:rPr>
          <w:rFonts w:ascii="Arial" w:hAnsi="Arial" w:cs="Arial"/>
          <w:color w:val="333333"/>
          <w:sz w:val="21"/>
          <w:szCs w:val="21"/>
          <w:lang w:eastAsia="cs-CZ"/>
        </w:rPr>
        <w:t>d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>poledne. Bez objednání budou tyto odkladné úkony provedeny jen výjimečně, pokud to umožní aktuální situace v ordinaci.</w:t>
      </w:r>
    </w:p>
    <w:p w:rsidR="00C37EED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Doba mimo uvedené hodiny je vyhrazena pro návštěvní službu a administrativu. Ošetření je možné jen po předchozí domluvě. V případech, které nesnesou odkladu (nebezpečí ohrožení života), je nutné volat </w:t>
      </w:r>
      <w:r w:rsidRPr="008C3F05">
        <w:rPr>
          <w:rFonts w:ascii="Arial" w:hAnsi="Arial" w:cs="Arial"/>
          <w:i/>
          <w:iCs/>
          <w:color w:val="333333"/>
          <w:sz w:val="21"/>
          <w:lang w:eastAsia="cs-CZ"/>
        </w:rPr>
        <w:t>Rychlou záchranou pomoc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 xml:space="preserve"> </w:t>
      </w:r>
      <w:r w:rsidRPr="008C3F05">
        <w:rPr>
          <w:rFonts w:ascii="Arial" w:hAnsi="Arial" w:cs="Arial"/>
          <w:b/>
          <w:bCs/>
          <w:color w:val="333333"/>
          <w:sz w:val="21"/>
          <w:lang w:eastAsia="cs-CZ"/>
        </w:rPr>
        <w:t>telefon 155</w:t>
      </w:r>
      <w:r w:rsidRPr="008C3F05">
        <w:rPr>
          <w:rFonts w:ascii="Arial" w:hAnsi="Arial" w:cs="Arial"/>
          <w:color w:val="333333"/>
          <w:sz w:val="21"/>
          <w:szCs w:val="21"/>
          <w:lang w:eastAsia="cs-CZ"/>
        </w:rPr>
        <w:t>.</w:t>
      </w:r>
    </w:p>
    <w:p w:rsidR="00C37EED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</w:p>
    <w:p w:rsidR="00C37EED" w:rsidRPr="008C3F05" w:rsidRDefault="00C37EED" w:rsidP="008C3F05">
      <w:pPr>
        <w:spacing w:after="0" w:line="330" w:lineRule="atLeast"/>
        <w:textAlignment w:val="baseline"/>
        <w:rPr>
          <w:rFonts w:ascii="Arial" w:hAnsi="Arial" w:cs="Arial"/>
          <w:color w:val="333333"/>
          <w:sz w:val="21"/>
          <w:szCs w:val="21"/>
          <w:lang w:eastAsia="cs-CZ"/>
        </w:rPr>
      </w:pPr>
    </w:p>
    <w:p w:rsidR="00C37EED" w:rsidRDefault="00C37EED">
      <w:bookmarkStart w:id="0" w:name="_GoBack"/>
      <w:bookmarkEnd w:id="0"/>
    </w:p>
    <w:sectPr w:rsidR="00C37EED" w:rsidSect="00A2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8FC"/>
    <w:multiLevelType w:val="multilevel"/>
    <w:tmpl w:val="0CE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F05"/>
    <w:rsid w:val="00025C94"/>
    <w:rsid w:val="0008110D"/>
    <w:rsid w:val="002E3C67"/>
    <w:rsid w:val="00303366"/>
    <w:rsid w:val="00355BD0"/>
    <w:rsid w:val="00361109"/>
    <w:rsid w:val="00395655"/>
    <w:rsid w:val="003E0FD9"/>
    <w:rsid w:val="004F213C"/>
    <w:rsid w:val="005353CB"/>
    <w:rsid w:val="005465FB"/>
    <w:rsid w:val="00695ED9"/>
    <w:rsid w:val="006E0922"/>
    <w:rsid w:val="00711553"/>
    <w:rsid w:val="00780C4F"/>
    <w:rsid w:val="008707A1"/>
    <w:rsid w:val="008C3F05"/>
    <w:rsid w:val="00A12206"/>
    <w:rsid w:val="00A222BF"/>
    <w:rsid w:val="00A817EF"/>
    <w:rsid w:val="00BC0FBE"/>
    <w:rsid w:val="00C15A1C"/>
    <w:rsid w:val="00C348B4"/>
    <w:rsid w:val="00C37EED"/>
    <w:rsid w:val="00CB5162"/>
    <w:rsid w:val="00D376D8"/>
    <w:rsid w:val="00D605B7"/>
    <w:rsid w:val="00DA3E9A"/>
    <w:rsid w:val="00DE15CF"/>
    <w:rsid w:val="00E04E3B"/>
    <w:rsid w:val="00F3119C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63C98"/>
  <w15:docId w15:val="{DC6D3EC1-4FD9-4AB1-8CAB-1EBFB8C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BF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8C3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8C3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C3F0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3F05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rsid w:val="008C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8C3F05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8C3F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MUDr. Pavel Jílek</cp:lastModifiedBy>
  <cp:revision>16</cp:revision>
  <cp:lastPrinted>2018-10-23T12:26:00Z</cp:lastPrinted>
  <dcterms:created xsi:type="dcterms:W3CDTF">2018-10-23T11:54:00Z</dcterms:created>
  <dcterms:modified xsi:type="dcterms:W3CDTF">2018-11-30T07:28:00Z</dcterms:modified>
</cp:coreProperties>
</file>